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C19" w:rsidRPr="00E41C19" w:rsidRDefault="00E41C19" w:rsidP="00E41C19">
      <w:pPr>
        <w:jc w:val="center"/>
        <w:rPr>
          <w:b/>
        </w:rPr>
      </w:pPr>
      <w:bookmarkStart w:id="0" w:name="_GoBack"/>
      <w:r w:rsidRPr="00E41C19">
        <w:rPr>
          <w:b/>
        </w:rPr>
        <w:t xml:space="preserve">TÍTULO TERCERO, CAPÍTULO II </w:t>
      </w:r>
      <w:bookmarkEnd w:id="0"/>
      <w:r w:rsidRPr="00E41C19">
        <w:rPr>
          <w:b/>
        </w:rPr>
        <w:t>DE LA LEY DE PROTECCIÓN DE DATOS PERSONALES EN POSESIÓN DE SUJETOS OBLIGADOS DE LA CIUDAD DE MÉXICO</w:t>
      </w:r>
    </w:p>
    <w:p w:rsidR="00E41C19" w:rsidRDefault="00E41C19" w:rsidP="00E41C19">
      <w:pPr>
        <w:jc w:val="both"/>
        <w:rPr>
          <w:b/>
        </w:rPr>
      </w:pPr>
    </w:p>
    <w:p w:rsidR="00E41C19" w:rsidRPr="00E41C19" w:rsidRDefault="00E41C19" w:rsidP="00E41C19">
      <w:pPr>
        <w:jc w:val="center"/>
      </w:pPr>
      <w:r w:rsidRPr="00E41C19">
        <w:rPr>
          <w:b/>
        </w:rPr>
        <w:t>Del Ejercicio de los Derechos de Acceso, Rectificación, Cancelación y Oposición</w:t>
      </w:r>
    </w:p>
    <w:p w:rsidR="00E41C19" w:rsidRPr="00E41C19" w:rsidRDefault="00E41C19" w:rsidP="00E41C19">
      <w:pPr>
        <w:jc w:val="both"/>
      </w:pPr>
      <w:r w:rsidRPr="00E41C19">
        <w:rPr>
          <w:b/>
        </w:rPr>
        <w:t xml:space="preserve"> </w:t>
      </w:r>
    </w:p>
    <w:p w:rsidR="00E41C19" w:rsidRPr="00E41C19" w:rsidRDefault="00E41C19" w:rsidP="00E41C19">
      <w:pPr>
        <w:jc w:val="both"/>
      </w:pPr>
      <w:r w:rsidRPr="00E41C19">
        <w:rPr>
          <w:b/>
        </w:rPr>
        <w:t xml:space="preserve">Artículo 46. </w:t>
      </w:r>
      <w:r w:rsidRPr="00E41C19">
        <w:t xml:space="preserve">La recepción y trámite de las solicitudes para el ejercicio de los derechos de acceso, rectificación, cancelación u oposición que se formulen a los sujetos obligados, se sujetará al procedimiento establecido en el presente Título y demás disposiciones que resulten aplicables en la materia.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t xml:space="preserve">Artículo 47. </w:t>
      </w:r>
      <w:r w:rsidRPr="00E41C19">
        <w:t xml:space="preserve">Para el ejercicio de los derechos ARCO será necesario acreditar la identidad del titular y, en su caso, la identidad y </w:t>
      </w:r>
    </w:p>
    <w:p w:rsidR="00E41C19" w:rsidRPr="00E41C19" w:rsidRDefault="00E41C19" w:rsidP="00E41C19">
      <w:pPr>
        <w:jc w:val="both"/>
      </w:pPr>
      <w:r w:rsidRPr="00E41C19">
        <w:t xml:space="preserve">personalidad con la que actúe el representante, a través de carta poder simple suscrita ante dos testigos anexando copia de las identificaciones de los suscriptores.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El ejercicio de los derechos ARCO por persona distinta a su titular o a su representante, será posible, excepcionalmente, en aquellos supuestos previstos por disposición legal, o en su caso, por mandato judicial.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El ejercicio de los derechos ARCO de menores de edad se hará a través del padre, madre o tutor y en el caso de personas que se encuentren en estado de interdicción o incapacidad, de conformidad con las leyes civiles, se estará a las reglas de representación dispuestas en la legislación de la materia.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Tratándose de datos personales concernientes a personas fallecidas, la protección de datos personales no se extingue, por </w:t>
      </w:r>
      <w:proofErr w:type="gramStart"/>
      <w:r w:rsidRPr="00E41C19">
        <w:t>tanto</w:t>
      </w:r>
      <w:proofErr w:type="gramEnd"/>
      <w:r w:rsidRPr="00E41C19">
        <w:t xml:space="preserve"> el ejercicio de Derechos ARCO lo podrá realizar, la persona que acredite tener un interés jurídico o legítimo, el heredero o el albacea de la persona fallecida, de conformidad con las leyes aplicables, o bien exista un mandato judicial para dicho efecto.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lastRenderedPageBreak/>
        <w:t xml:space="preserve">Artículo 48. </w:t>
      </w:r>
      <w:r w:rsidRPr="00E41C19">
        <w:t xml:space="preserve">El ejercicio de los derechos ARCO deberá ser gratuito. Sólo podrán realizarse cobros para recuperar los costos de reproducción, certificación o envío, conforme a la normatividad que resulte aplicable.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Para efectos de acceso a datos personales, las leyes que establezcan los costos de reproducción y certificación deberán considerar en su determinación que los montos permitan o faciliten el ejercicio de este derecho.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Cuando el titular proporcione el medio magnético, electrónico o el mecanismo necesario para reproducir los datos personales, los mismos deberán ser entregados sin costo a éste.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La información deberá ser entregada sin costo, cuando implique la entrega de hasta sesenta hojas simples. Las unidades de transparencia podrán exceptuar el pago de reproducción y envío atendiendo a las circunstancias socioeconómicas del titular.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El responsable no podrá establecer para la presentación de las solicitudes del ejercicio de los derechos ARCO algún servicio o medio que implique un costo al titular.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t xml:space="preserve">Artículo 49. </w:t>
      </w:r>
      <w:r w:rsidRPr="00E41C19">
        <w:t xml:space="preserve">Se deberán establecer procedimientos sencillos que permitan el ejercicio de los derechos ARCO, cuyo plazo de respuesta no deberá exceder de quince días contados a partir de la recepción de la solicitud.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Excepcionalmente, el plazo referido en el párrafo anterior podrá ampliarse hasta por quince días más, siempre y cuando existan razones fundadas y motivadas. En su caso, el sujeto obligado deberá comunicar, antes del vencimiento del plazo, las razones por las cuales hará uso de la ampliación excepcional.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En caso de resultar procedente el ejercicio de los derechos ARCO, el responsable deberá hacerlo efectivo en un plazo que no podrá exceder de diez días contados a partir del día siguiente en que se haya notificado la respuesta al titular.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lastRenderedPageBreak/>
        <w:t xml:space="preserve">Artículo 50. </w:t>
      </w:r>
      <w:r w:rsidRPr="00E41C19">
        <w:t xml:space="preserve">En la solicitud para el ejercicio de los derechos ARCO no podrán imponerse mayores requisitos que los siguientes: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El nombre del titular y su domicilio o cualquier otro medio para recibir notificaciones;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Los documentos que acrediten la identidad del titular y, en su caso, la personalidad e identidad de su representante;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De ser posible, el área responsable que trata los datos personales;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La descripción clara y precisa de los datos personales respecto de los que se busca ejercer alguno de los derechos ARCO;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La descripción del derecho ARCO que se pretende ejercer, o bien, lo que solicita el titular; y </w:t>
      </w:r>
    </w:p>
    <w:p w:rsidR="00E41C19" w:rsidRPr="00E41C19" w:rsidRDefault="00E41C19" w:rsidP="00E41C19">
      <w:pPr>
        <w:jc w:val="both"/>
      </w:pPr>
      <w:r w:rsidRPr="00E41C19">
        <w:t xml:space="preserve"> </w:t>
      </w:r>
    </w:p>
    <w:p w:rsidR="00E41C19" w:rsidRPr="00E41C19" w:rsidRDefault="00E41C19" w:rsidP="00E41C19">
      <w:pPr>
        <w:numPr>
          <w:ilvl w:val="0"/>
          <w:numId w:val="2"/>
        </w:numPr>
        <w:jc w:val="both"/>
      </w:pPr>
      <w:r w:rsidRPr="00E41C19">
        <w:t xml:space="preserve">Cualquier otro elemento o documento que facilite la localización de los datos personales, en su caso.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Procederá el derecho de rectificación de datos del titular, en los sistemas de datos personales, cuando tales datos resulten inexactos o incompletos, inadecuados o excesivos, siempre y cuando no resulte imposible o exija esfuerzos desproporcionados. </w:t>
      </w:r>
    </w:p>
    <w:p w:rsidR="00E41C19" w:rsidRPr="00E41C19" w:rsidRDefault="00E41C19" w:rsidP="00E41C19">
      <w:pPr>
        <w:jc w:val="both"/>
      </w:pPr>
      <w:r w:rsidRPr="00E41C19">
        <w:lastRenderedPageBreak/>
        <w:t xml:space="preserve"> </w:t>
      </w:r>
    </w:p>
    <w:p w:rsidR="00E41C19" w:rsidRPr="00E41C19" w:rsidRDefault="00E41C19" w:rsidP="00E41C19">
      <w:pPr>
        <w:jc w:val="both"/>
      </w:pPr>
      <w:r w:rsidRPr="00E41C19">
        <w:t xml:space="preserve">Con relación a una solicitud de cancelación, el titular deberá señalar las causas que lo motiven a solicitar la cancelación o supresión de sus datos personales en los archivos, expedientes, registros, bases de datos o sistemas de datos personales en posesión del sujeto obligado.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En el caso de la solicitud de oposición, el titular deberá manifestar las causas o la situación específica que lo llevan a solicitar el cese en el tratamiento, así como el daño o perjuicio que le causaría la persistencia del tratamiento, o en su caso, las finalidades específicas respecto de las cuales requiere ejercer el derecho de oposición.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Las solicitudes para el ejercicio de los derechos ARCO deberán presentarse ante la Unidad de Transparencia del sujeto obligado, que el titular considere competente, a través de escrito libre, formatos, medios electrónicos o cualquier otro medio que al efecto establezca el Instituto en el ámbito de sus respectivas competencias.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El responsable deberá dar trámite a toda solicitud para el ejercicio de los derechos ARCO y entregar el acuse de recibo que corresponda.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El Instituto podrá establecer formularios, sistemas y otros métodos simplificados para facilitar a los titulares el ejercicio de los derechos ARCO.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En caso de que la solicitud de Derechos ARCO no satisfaga alguno de los requisitos a que se refiere este artículo,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w:t>
      </w:r>
    </w:p>
    <w:p w:rsidR="00E41C19" w:rsidRPr="00E41C19" w:rsidRDefault="00E41C19" w:rsidP="00E41C19">
      <w:pPr>
        <w:jc w:val="both"/>
      </w:pPr>
      <w:r w:rsidRPr="00E41C19">
        <w:lastRenderedPageBreak/>
        <w:t xml:space="preserve"> </w:t>
      </w:r>
    </w:p>
    <w:p w:rsidR="00E41C19" w:rsidRPr="00E41C19" w:rsidRDefault="00E41C19" w:rsidP="00E41C19">
      <w:pPr>
        <w:jc w:val="both"/>
      </w:pPr>
      <w:r w:rsidRPr="00E41C19">
        <w:t xml:space="preserve">Si transcurrido el plazo no se ha desahogado la prevención, se tendrá por no presentada la solicitud de ejercicio de los Derechos ARCO.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La prevención tendrá el efecto de interrumpir los plazos establecidos para dar respuesta a la solicitud de ejercicio de los derechos ARCO.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t xml:space="preserve">Artículo 51. </w:t>
      </w:r>
      <w:r w:rsidRPr="00E41C19">
        <w:t xml:space="preserve">Cuando el sujeto obligado no sea competente para atender la solicitud para el ejercicio de los derechos ARCO, deberá hacer del conocimiento del titular fundando y motivando dicha situación dentro de los tres días siguientes a la presentación de la solicitud, y en su caso, orientarlo hacia el sujeto obligado competente.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En caso de que el responsable declare inexistencia de los datos personales en sus archivos, registros, expediente, base de datos o sistemas de datos personales dicha declaración deberá constar en una resolución del Comité de Transparencia que confirme la inexistencia de los datos personales. </w:t>
      </w:r>
    </w:p>
    <w:p w:rsidR="00E41C19" w:rsidRPr="00E41C19" w:rsidRDefault="00E41C19" w:rsidP="00E41C19">
      <w:pPr>
        <w:jc w:val="both"/>
      </w:pPr>
      <w:r w:rsidRPr="00E41C19">
        <w:t xml:space="preserve"> </w:t>
      </w:r>
    </w:p>
    <w:p w:rsidR="00E41C19" w:rsidRPr="00E41C19" w:rsidRDefault="00E41C19" w:rsidP="00E41C19">
      <w:pPr>
        <w:jc w:val="both"/>
      </w:pPr>
      <w:r w:rsidRPr="00E41C19">
        <w:t xml:space="preserve">En caso de que el responsable advierta que la solicitud para el ejercicio de los derechos ARCO corresponda a un derecho diferente de los previstos en la presente Ley, deberá reconducir la vía haciéndolo del conocimiento al titular.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t xml:space="preserve">Artículo 52. </w:t>
      </w:r>
      <w:r w:rsidRPr="00E41C19">
        <w:t xml:space="preserve">Cuando las disposiciones aplicables a determinados tratamientos de datos personales establezcan un trámite o </w:t>
      </w:r>
    </w:p>
    <w:p w:rsidR="00E41C19" w:rsidRPr="00E41C19" w:rsidRDefault="00E41C19" w:rsidP="00E41C19">
      <w:pPr>
        <w:jc w:val="both"/>
      </w:pPr>
      <w:r w:rsidRPr="00E41C19">
        <w:t xml:space="preserve">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 </w:t>
      </w:r>
    </w:p>
    <w:p w:rsidR="00E41C19" w:rsidRPr="00E41C19" w:rsidRDefault="00E41C19" w:rsidP="00E41C19">
      <w:pPr>
        <w:jc w:val="both"/>
      </w:pPr>
      <w:r w:rsidRPr="00E41C19">
        <w:t xml:space="preserve"> </w:t>
      </w:r>
    </w:p>
    <w:p w:rsidR="00E41C19" w:rsidRPr="00E41C19" w:rsidRDefault="00E41C19" w:rsidP="00E41C19">
      <w:pPr>
        <w:jc w:val="both"/>
      </w:pPr>
      <w:r w:rsidRPr="00E41C19">
        <w:rPr>
          <w:b/>
        </w:rPr>
        <w:lastRenderedPageBreak/>
        <w:t xml:space="preserve">Artículo 53. </w:t>
      </w:r>
      <w:r w:rsidRPr="00E41C19">
        <w:t xml:space="preserve">El titular que se considere agraviado por la resolución a su solicitud de ejercicio de Derechos ARCO, podrá interponer un recurso de revisión ante el Instituto. </w:t>
      </w:r>
    </w:p>
    <w:p w:rsidR="004F3DB0" w:rsidRPr="00E41C19" w:rsidRDefault="004F3DB0" w:rsidP="00E41C19">
      <w:pPr>
        <w:jc w:val="both"/>
      </w:pPr>
    </w:p>
    <w:sectPr w:rsidR="004F3DB0" w:rsidRPr="00E41C19" w:rsidSect="00380531">
      <w:headerReference w:type="default" r:id="rId7"/>
      <w:footerReference w:type="default" r:id="rId8"/>
      <w:pgSz w:w="12240" w:h="15840" w:code="1"/>
      <w:pgMar w:top="2269" w:right="1185" w:bottom="1560" w:left="1701" w:header="426" w:footer="54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9F0" w:rsidRDefault="00F979F0" w:rsidP="00F63286">
      <w:pPr>
        <w:spacing w:after="0" w:line="240" w:lineRule="auto"/>
      </w:pPr>
      <w:r>
        <w:separator/>
      </w:r>
    </w:p>
  </w:endnote>
  <w:endnote w:type="continuationSeparator" w:id="0">
    <w:p w:rsidR="00F979F0" w:rsidRDefault="00F979F0" w:rsidP="00F63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Corbel"/>
    <w:panose1 w:val="020B0503030403090204"/>
    <w:charset w:val="00"/>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D4C" w:rsidRPr="002463C5" w:rsidRDefault="00380531" w:rsidP="002463C5">
    <w:pPr>
      <w:pStyle w:val="Piedepgina"/>
    </w:pPr>
    <w:r w:rsidRPr="002463C5">
      <w:rPr>
        <w:noProof/>
        <w:lang w:eastAsia="es-MX"/>
      </w:rPr>
      <w:drawing>
        <wp:anchor distT="0" distB="0" distL="114300" distR="114300" simplePos="0" relativeHeight="251662336" behindDoc="0" locked="0" layoutInCell="1" allowOverlap="1" wp14:anchorId="18A1BB79" wp14:editId="0FA1D91E">
          <wp:simplePos x="0" y="0"/>
          <wp:positionH relativeFrom="column">
            <wp:posOffset>4344670</wp:posOffset>
          </wp:positionH>
          <wp:positionV relativeFrom="paragraph">
            <wp:posOffset>-398145</wp:posOffset>
          </wp:positionV>
          <wp:extent cx="1688465" cy="518160"/>
          <wp:effectExtent l="0" t="0" r="6985" b="0"/>
          <wp:wrapSquare wrapText="bothSides"/>
          <wp:docPr id="29" name="Imagen 29" descr="Sin título-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n título-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518160"/>
                  </a:xfrm>
                  <a:prstGeom prst="rect">
                    <a:avLst/>
                  </a:prstGeom>
                  <a:noFill/>
                </pic:spPr>
              </pic:pic>
            </a:graphicData>
          </a:graphic>
          <wp14:sizeRelH relativeFrom="page">
            <wp14:pctWidth>0</wp14:pctWidth>
          </wp14:sizeRelH>
          <wp14:sizeRelV relativeFrom="page">
            <wp14:pctHeight>0</wp14:pctHeight>
          </wp14:sizeRelV>
        </wp:anchor>
      </w:drawing>
    </w:r>
    <w:r w:rsidRPr="002463C5">
      <w:rPr>
        <w:noProof/>
        <w:lang w:eastAsia="es-MX"/>
      </w:rPr>
      <mc:AlternateContent>
        <mc:Choice Requires="wps">
          <w:drawing>
            <wp:anchor distT="0" distB="0" distL="114300" distR="114300" simplePos="0" relativeHeight="251661312" behindDoc="0" locked="0" layoutInCell="1" allowOverlap="1" wp14:anchorId="45CEA858" wp14:editId="241D139C">
              <wp:simplePos x="0" y="0"/>
              <wp:positionH relativeFrom="page">
                <wp:posOffset>782955</wp:posOffset>
              </wp:positionH>
              <wp:positionV relativeFrom="paragraph">
                <wp:posOffset>-416560</wp:posOffset>
              </wp:positionV>
              <wp:extent cx="2686050" cy="662305"/>
              <wp:effectExtent l="0" t="0" r="0" b="4445"/>
              <wp:wrapNone/>
              <wp:docPr id="5" name="Cuadro de texto 5"/>
              <wp:cNvGraphicFramePr/>
              <a:graphic xmlns:a="http://schemas.openxmlformats.org/drawingml/2006/main">
                <a:graphicData uri="http://schemas.microsoft.com/office/word/2010/wordprocessingShape">
                  <wps:wsp>
                    <wps:cNvSpPr txBox="1"/>
                    <wps:spPr>
                      <a:xfrm>
                        <a:off x="0" y="0"/>
                        <a:ext cx="2686050" cy="662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Gral. Victoriano Zepeda 22, Colonia Observatorio</w:t>
                          </w:r>
                        </w:p>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Alcaldía Miguel Hidalgo, C.P. 11860, Ciudad de México</w:t>
                          </w:r>
                        </w:p>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 xml:space="preserve">T.  5516 8586 ext. </w:t>
                          </w:r>
                          <w:r>
                            <w:rPr>
                              <w:rFonts w:ascii="Source Sans Pro" w:hAnsi="Source Sans Pro"/>
                              <w:noProof/>
                              <w:sz w:val="16"/>
                              <w:szCs w:val="16"/>
                              <w:lang w:eastAsia="es-MX"/>
                            </w:rPr>
                            <w:t>223 / 231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EA858" id="_x0000_t202" coordsize="21600,21600" o:spt="202" path="m,l,21600r21600,l21600,xe">
              <v:stroke joinstyle="miter"/>
              <v:path gradientshapeok="t" o:connecttype="rect"/>
            </v:shapetype>
            <v:shape id="Cuadro de texto 5" o:spid="_x0000_s1026" type="#_x0000_t202" style="position:absolute;margin-left:61.65pt;margin-top:-32.8pt;width:211.5pt;height:52.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" fillcolor="white [3201]" stroked="f" strokeweight=".5pt">
              <v:textbox>
                <w:txbxContent>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Gral. Victoriano Zepeda 22, Colonia Observatorio</w:t>
                    </w:r>
                  </w:p>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Alcaldía Miguel Hidalgo, C.P. 11860, Ciudad de México</w:t>
                    </w:r>
                  </w:p>
                  <w:p w:rsidR="002463C5" w:rsidRPr="00DA4260" w:rsidRDefault="002463C5" w:rsidP="002463C5">
                    <w:pPr>
                      <w:pStyle w:val="Encabezado"/>
                      <w:ind w:left="-851" w:firstLine="709"/>
                      <w:jc w:val="both"/>
                      <w:rPr>
                        <w:rFonts w:ascii="Source Sans Pro" w:hAnsi="Source Sans Pro"/>
                        <w:noProof/>
                        <w:sz w:val="16"/>
                        <w:szCs w:val="16"/>
                        <w:lang w:eastAsia="es-MX"/>
                      </w:rPr>
                    </w:pPr>
                    <w:r w:rsidRPr="00DA4260">
                      <w:rPr>
                        <w:rFonts w:ascii="Source Sans Pro" w:hAnsi="Source Sans Pro"/>
                        <w:noProof/>
                        <w:sz w:val="16"/>
                        <w:szCs w:val="16"/>
                        <w:lang w:eastAsia="es-MX"/>
                      </w:rPr>
                      <w:t xml:space="preserve">T.  5516 8586 ext. </w:t>
                    </w:r>
                    <w:r>
                      <w:rPr>
                        <w:rFonts w:ascii="Source Sans Pro" w:hAnsi="Source Sans Pro"/>
                        <w:noProof/>
                        <w:sz w:val="16"/>
                        <w:szCs w:val="16"/>
                        <w:lang w:eastAsia="es-MX"/>
                      </w:rPr>
                      <w:t>223 / 231</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9F0" w:rsidRDefault="00F979F0" w:rsidP="00F63286">
      <w:pPr>
        <w:spacing w:after="0" w:line="240" w:lineRule="auto"/>
      </w:pPr>
      <w:r>
        <w:separator/>
      </w:r>
    </w:p>
  </w:footnote>
  <w:footnote w:type="continuationSeparator" w:id="0">
    <w:p w:rsidR="00F979F0" w:rsidRDefault="00F979F0" w:rsidP="00F63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01D" w:rsidRPr="00D84AFA" w:rsidRDefault="00FE7093" w:rsidP="00F63286">
    <w:pPr>
      <w:pStyle w:val="Encabezado"/>
      <w:tabs>
        <w:tab w:val="clear" w:pos="8838"/>
      </w:tabs>
      <w:jc w:val="right"/>
      <w:rPr>
        <w:rFonts w:ascii="Source Sans Pro" w:hAnsi="Source Sans Pro" w:cs="Arial"/>
        <w:color w:val="1E1D23"/>
        <w:sz w:val="23"/>
        <w:szCs w:val="23"/>
      </w:rPr>
    </w:pPr>
    <w:r>
      <w:rPr>
        <w:noProof/>
        <w:lang w:eastAsia="es-MX"/>
      </w:rPr>
      <w:drawing>
        <wp:anchor distT="0" distB="0" distL="114300" distR="114300" simplePos="0" relativeHeight="251664384" behindDoc="0" locked="0" layoutInCell="1" allowOverlap="1" wp14:anchorId="48431A05" wp14:editId="514A013D">
          <wp:simplePos x="0" y="0"/>
          <wp:positionH relativeFrom="column">
            <wp:posOffset>-414655</wp:posOffset>
          </wp:positionH>
          <wp:positionV relativeFrom="paragraph">
            <wp:posOffset>-135890</wp:posOffset>
          </wp:positionV>
          <wp:extent cx="2457450" cy="769479"/>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3" name="Imagen 2"/>
                  <pic:cNvPicPr>
                    <a:picLocks noChangeAspect="1"/>
                  </pic:cNvPicPr>
                </pic:nvPicPr>
                <pic:blipFill rotWithShape="1">
                  <a:blip r:embed="rId1">
                    <a:extLst>
                      <a:ext uri="{28A0092B-C50C-407E-A947-70E740481C1C}">
                        <a14:useLocalDpi xmlns:a14="http://schemas.microsoft.com/office/drawing/2010/main" val="0"/>
                      </a:ext>
                    </a:extLst>
                  </a:blip>
                  <a:srcRect l="5957" t="52850" r="65370" b="35442"/>
                  <a:stretch/>
                </pic:blipFill>
                <pic:spPr bwMode="auto">
                  <a:xfrm>
                    <a:off x="0" y="0"/>
                    <a:ext cx="2457450" cy="7694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27BF9" w:rsidRPr="00D84AFA" w:rsidRDefault="00626259" w:rsidP="00F63286">
    <w:pPr>
      <w:pStyle w:val="Encabezado"/>
      <w:tabs>
        <w:tab w:val="clear" w:pos="8838"/>
      </w:tabs>
      <w:jc w:val="right"/>
      <w:rPr>
        <w:rFonts w:ascii="Source Sans Pro" w:hAnsi="Source Sans Pro" w:cs="Arial"/>
        <w:b/>
        <w:color w:val="1E1D23"/>
        <w:sz w:val="23"/>
        <w:szCs w:val="23"/>
      </w:rPr>
    </w:pPr>
    <w:r w:rsidRPr="00D84AFA">
      <w:rPr>
        <w:rFonts w:ascii="Source Sans Pro" w:hAnsi="Source Sans Pro" w:cs="Arial"/>
        <w:b/>
        <w:color w:val="1E1D23"/>
        <w:sz w:val="23"/>
        <w:szCs w:val="23"/>
      </w:rPr>
      <w:t xml:space="preserve">SECRETARÍA DE </w:t>
    </w:r>
    <w:r w:rsidR="00C54BAE" w:rsidRPr="00D84AFA">
      <w:rPr>
        <w:rFonts w:ascii="Source Sans Pro" w:hAnsi="Source Sans Pro" w:cs="Arial"/>
        <w:b/>
        <w:color w:val="1E1D23"/>
        <w:sz w:val="23"/>
        <w:szCs w:val="23"/>
      </w:rPr>
      <w:t xml:space="preserve">ADMINISTRACIÓN Y </w:t>
    </w:r>
    <w:r w:rsidR="00A52D7F" w:rsidRPr="00D84AFA">
      <w:rPr>
        <w:rFonts w:ascii="Source Sans Pro" w:hAnsi="Source Sans Pro" w:cs="Arial"/>
        <w:b/>
        <w:color w:val="1E1D23"/>
        <w:sz w:val="23"/>
        <w:szCs w:val="23"/>
      </w:rPr>
      <w:t>FINANZAS</w:t>
    </w:r>
  </w:p>
  <w:p w:rsidR="00F63286" w:rsidRPr="00D84AFA" w:rsidRDefault="00F63286" w:rsidP="00F63286">
    <w:pPr>
      <w:pStyle w:val="Encabezado"/>
      <w:tabs>
        <w:tab w:val="clear" w:pos="8838"/>
      </w:tabs>
      <w:jc w:val="right"/>
      <w:rPr>
        <w:rFonts w:ascii="Source Sans Pro" w:hAnsi="Source Sans Pro" w:cs="Arial"/>
        <w:color w:val="1E1D23"/>
        <w:sz w:val="20"/>
        <w:szCs w:val="20"/>
      </w:rPr>
    </w:pPr>
    <w:r w:rsidRPr="00D84AFA">
      <w:rPr>
        <w:rFonts w:ascii="Source Sans Pro" w:hAnsi="Source Sans Pro" w:cs="Arial"/>
        <w:color w:val="1E1D23"/>
        <w:sz w:val="20"/>
        <w:szCs w:val="20"/>
      </w:rPr>
      <w:t>CORPORACIÓN MEXICANA DE IMPRESIÓN, S.A. DE C.V.</w:t>
    </w:r>
  </w:p>
  <w:p w:rsidR="00F63286" w:rsidRDefault="00F63286" w:rsidP="00F63286">
    <w:pPr>
      <w:pStyle w:val="Encabezado"/>
      <w:tabs>
        <w:tab w:val="clear" w:pos="8838"/>
      </w:tabs>
      <w:jc w:val="right"/>
      <w:rPr>
        <w:rFonts w:ascii="Source Sans Pro" w:hAnsi="Source Sans Pro" w:cs="Arial"/>
        <w:color w:val="1E1D23"/>
        <w:sz w:val="20"/>
        <w:szCs w:val="20"/>
      </w:rPr>
    </w:pPr>
    <w:r w:rsidRPr="00D84AFA">
      <w:rPr>
        <w:rFonts w:ascii="Source Sans Pro" w:hAnsi="Source Sans Pro" w:cs="Arial"/>
        <w:color w:val="1E1D23"/>
        <w:sz w:val="20"/>
        <w:szCs w:val="20"/>
      </w:rPr>
      <w:t>DIRECCIÓN GENERAL</w:t>
    </w:r>
  </w:p>
  <w:p w:rsidR="003A4A8D" w:rsidRDefault="003A4A8D" w:rsidP="00F63286">
    <w:pPr>
      <w:pStyle w:val="Encabezado"/>
      <w:tabs>
        <w:tab w:val="clear" w:pos="8838"/>
      </w:tabs>
      <w:jc w:val="right"/>
      <w:rPr>
        <w:rFonts w:ascii="Source Sans Pro" w:hAnsi="Source Sans Pro" w:cs="Arial"/>
        <w:color w:val="1E1D23"/>
        <w:sz w:val="20"/>
        <w:szCs w:val="20"/>
      </w:rPr>
    </w:pPr>
    <w:r>
      <w:rPr>
        <w:rFonts w:ascii="Source Sans Pro" w:hAnsi="Source Sans Pro" w:cs="Arial"/>
        <w:color w:val="1E1D23"/>
        <w:sz w:val="20"/>
        <w:szCs w:val="20"/>
      </w:rPr>
      <w:t>UNIDAD DE TRANSPARENCIA</w:t>
    </w:r>
  </w:p>
  <w:p w:rsidR="00331E3A" w:rsidRDefault="00331E3A" w:rsidP="00F63286">
    <w:pPr>
      <w:pStyle w:val="Encabezado"/>
      <w:tabs>
        <w:tab w:val="clear" w:pos="8838"/>
      </w:tabs>
      <w:jc w:val="right"/>
      <w:rPr>
        <w:rFonts w:ascii="Source Sans Pro" w:hAnsi="Source Sans Pro" w:cs="Arial"/>
        <w:color w:val="1E1D23"/>
        <w:sz w:val="20"/>
        <w:szCs w:val="20"/>
      </w:rPr>
    </w:pPr>
  </w:p>
  <w:p w:rsidR="001548BD" w:rsidRDefault="001548BD" w:rsidP="00F63286">
    <w:pPr>
      <w:pStyle w:val="Encabezado"/>
      <w:tabs>
        <w:tab w:val="clear" w:pos="8838"/>
      </w:tabs>
      <w:jc w:val="right"/>
      <w:rPr>
        <w:rFonts w:ascii="Source Sans Pro" w:hAnsi="Source Sans Pro" w:cs="Arial"/>
        <w:b/>
        <w:i/>
        <w:color w:val="1E1D23"/>
        <w:sz w:val="20"/>
        <w:szCs w:val="20"/>
      </w:rPr>
    </w:pPr>
    <w:r>
      <w:rPr>
        <w:noProof/>
        <w:lang w:eastAsia="es-MX"/>
      </w:rPr>
      <w:drawing>
        <wp:inline distT="0" distB="0" distL="0" distR="0" wp14:anchorId="5AED74C6" wp14:editId="023EA6B3">
          <wp:extent cx="1322705" cy="533287"/>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5002" t="23489" r="6222" b="12885"/>
                  <a:stretch/>
                </pic:blipFill>
                <pic:spPr bwMode="auto">
                  <a:xfrm>
                    <a:off x="0" y="0"/>
                    <a:ext cx="1346976" cy="543073"/>
                  </a:xfrm>
                  <a:prstGeom prst="rect">
                    <a:avLst/>
                  </a:prstGeom>
                  <a:ln>
                    <a:noFill/>
                  </a:ln>
                  <a:extLst>
                    <a:ext uri="{53640926-AAD7-44D8-BBD7-CCE9431645EC}">
                      <a14:shadowObscured xmlns:a14="http://schemas.microsoft.com/office/drawing/2010/main"/>
                    </a:ext>
                  </a:extLst>
                </pic:spPr>
              </pic:pic>
            </a:graphicData>
          </a:graphic>
        </wp:inline>
      </w:drawing>
    </w:r>
  </w:p>
  <w:p w:rsidR="001548BD" w:rsidRDefault="001548BD" w:rsidP="00F63286">
    <w:pPr>
      <w:pStyle w:val="Encabezado"/>
      <w:tabs>
        <w:tab w:val="clear" w:pos="8838"/>
      </w:tabs>
      <w:jc w:val="right"/>
      <w:rPr>
        <w:rFonts w:ascii="Source Sans Pro" w:hAnsi="Source Sans Pro" w:cs="Arial"/>
        <w:b/>
        <w:i/>
        <w:color w:val="1E1D23"/>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F68F6"/>
    <w:multiLevelType w:val="hybridMultilevel"/>
    <w:tmpl w:val="BFCA411C"/>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1" w15:restartNumberingAfterBreak="0">
    <w:nsid w:val="3E964259"/>
    <w:multiLevelType w:val="hybridMultilevel"/>
    <w:tmpl w:val="25B26AC4"/>
    <w:lvl w:ilvl="0" w:tplc="3CE0C836">
      <w:start w:val="1"/>
      <w:numFmt w:val="upperRoman"/>
      <w:lvlText w:val="%1."/>
      <w:lvlJc w:val="left"/>
      <w:pPr>
        <w:ind w:left="159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1ACBB04">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6D63AE6">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EB48E46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C148A86">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91EFE32">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D3C26F8">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41FE17C0">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7494B78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585"/>
    <w:rsid w:val="00022FE0"/>
    <w:rsid w:val="000317CA"/>
    <w:rsid w:val="00044585"/>
    <w:rsid w:val="000551BC"/>
    <w:rsid w:val="000660D4"/>
    <w:rsid w:val="0008291A"/>
    <w:rsid w:val="000973F3"/>
    <w:rsid w:val="000A1C58"/>
    <w:rsid w:val="000B4FD7"/>
    <w:rsid w:val="000B73DD"/>
    <w:rsid w:val="000C0526"/>
    <w:rsid w:val="000D013C"/>
    <w:rsid w:val="000E55D4"/>
    <w:rsid w:val="001012B7"/>
    <w:rsid w:val="001548BD"/>
    <w:rsid w:val="00167E2B"/>
    <w:rsid w:val="001809DF"/>
    <w:rsid w:val="001834DF"/>
    <w:rsid w:val="00193380"/>
    <w:rsid w:val="00194CDF"/>
    <w:rsid w:val="001A0995"/>
    <w:rsid w:val="001B0E19"/>
    <w:rsid w:val="001C6A09"/>
    <w:rsid w:val="001D1E74"/>
    <w:rsid w:val="001D649B"/>
    <w:rsid w:val="001D716D"/>
    <w:rsid w:val="001D75A0"/>
    <w:rsid w:val="001E3236"/>
    <w:rsid w:val="001F0841"/>
    <w:rsid w:val="001F44FC"/>
    <w:rsid w:val="002463C5"/>
    <w:rsid w:val="00255772"/>
    <w:rsid w:val="002A518D"/>
    <w:rsid w:val="002B5029"/>
    <w:rsid w:val="002C2E5A"/>
    <w:rsid w:val="00311C41"/>
    <w:rsid w:val="00314819"/>
    <w:rsid w:val="003215EB"/>
    <w:rsid w:val="0032232F"/>
    <w:rsid w:val="003239D3"/>
    <w:rsid w:val="00327BF9"/>
    <w:rsid w:val="00331E3A"/>
    <w:rsid w:val="00344175"/>
    <w:rsid w:val="00351F04"/>
    <w:rsid w:val="0035469D"/>
    <w:rsid w:val="00372BE2"/>
    <w:rsid w:val="00380531"/>
    <w:rsid w:val="0038054A"/>
    <w:rsid w:val="003859AD"/>
    <w:rsid w:val="0039100F"/>
    <w:rsid w:val="003A4A8D"/>
    <w:rsid w:val="003D239B"/>
    <w:rsid w:val="003F237E"/>
    <w:rsid w:val="003F5878"/>
    <w:rsid w:val="003F6033"/>
    <w:rsid w:val="0042640C"/>
    <w:rsid w:val="00426CEF"/>
    <w:rsid w:val="00427939"/>
    <w:rsid w:val="00441088"/>
    <w:rsid w:val="00446F0D"/>
    <w:rsid w:val="00484546"/>
    <w:rsid w:val="004A1E57"/>
    <w:rsid w:val="004B49D1"/>
    <w:rsid w:val="004D08E0"/>
    <w:rsid w:val="004D0DFD"/>
    <w:rsid w:val="004D3554"/>
    <w:rsid w:val="004E42B9"/>
    <w:rsid w:val="004F3DB0"/>
    <w:rsid w:val="0054465E"/>
    <w:rsid w:val="00550476"/>
    <w:rsid w:val="00555318"/>
    <w:rsid w:val="005629AD"/>
    <w:rsid w:val="0059706E"/>
    <w:rsid w:val="005B05AF"/>
    <w:rsid w:val="005D32EE"/>
    <w:rsid w:val="005E4629"/>
    <w:rsid w:val="005E69B5"/>
    <w:rsid w:val="006041EF"/>
    <w:rsid w:val="00604401"/>
    <w:rsid w:val="00620B8D"/>
    <w:rsid w:val="00624640"/>
    <w:rsid w:val="00626259"/>
    <w:rsid w:val="00654301"/>
    <w:rsid w:val="006A0373"/>
    <w:rsid w:val="006A229A"/>
    <w:rsid w:val="006C0A38"/>
    <w:rsid w:val="006E38A2"/>
    <w:rsid w:val="00721228"/>
    <w:rsid w:val="00724FF9"/>
    <w:rsid w:val="007725C0"/>
    <w:rsid w:val="00773D4C"/>
    <w:rsid w:val="00783EC5"/>
    <w:rsid w:val="00791669"/>
    <w:rsid w:val="007A301D"/>
    <w:rsid w:val="007B0F36"/>
    <w:rsid w:val="007B31CB"/>
    <w:rsid w:val="007B6FB9"/>
    <w:rsid w:val="007F0867"/>
    <w:rsid w:val="007F43D7"/>
    <w:rsid w:val="008055D3"/>
    <w:rsid w:val="008200F7"/>
    <w:rsid w:val="00842881"/>
    <w:rsid w:val="00846555"/>
    <w:rsid w:val="00857E1C"/>
    <w:rsid w:val="008A71F6"/>
    <w:rsid w:val="008C4EB6"/>
    <w:rsid w:val="008D0FB7"/>
    <w:rsid w:val="008D5D94"/>
    <w:rsid w:val="008F4F97"/>
    <w:rsid w:val="00901D7A"/>
    <w:rsid w:val="009112A5"/>
    <w:rsid w:val="009122AD"/>
    <w:rsid w:val="00924B1A"/>
    <w:rsid w:val="00930CDF"/>
    <w:rsid w:val="0094675F"/>
    <w:rsid w:val="009469C7"/>
    <w:rsid w:val="00961CAC"/>
    <w:rsid w:val="00973FCC"/>
    <w:rsid w:val="00993825"/>
    <w:rsid w:val="009A6815"/>
    <w:rsid w:val="009B22D4"/>
    <w:rsid w:val="009B33FA"/>
    <w:rsid w:val="009D6D57"/>
    <w:rsid w:val="009E3B15"/>
    <w:rsid w:val="00A03000"/>
    <w:rsid w:val="00A03A0D"/>
    <w:rsid w:val="00A071DA"/>
    <w:rsid w:val="00A07959"/>
    <w:rsid w:val="00A23AB3"/>
    <w:rsid w:val="00A41ACA"/>
    <w:rsid w:val="00A41D59"/>
    <w:rsid w:val="00A52D7F"/>
    <w:rsid w:val="00A633EB"/>
    <w:rsid w:val="00A839C7"/>
    <w:rsid w:val="00A871C8"/>
    <w:rsid w:val="00A906A6"/>
    <w:rsid w:val="00A94768"/>
    <w:rsid w:val="00AA6AA0"/>
    <w:rsid w:val="00AB0C70"/>
    <w:rsid w:val="00AB1E69"/>
    <w:rsid w:val="00AC5637"/>
    <w:rsid w:val="00AC71B1"/>
    <w:rsid w:val="00AD4B07"/>
    <w:rsid w:val="00AD61AE"/>
    <w:rsid w:val="00AE527B"/>
    <w:rsid w:val="00B138E0"/>
    <w:rsid w:val="00B20947"/>
    <w:rsid w:val="00B2174C"/>
    <w:rsid w:val="00B3567B"/>
    <w:rsid w:val="00B417EA"/>
    <w:rsid w:val="00B47A08"/>
    <w:rsid w:val="00B57AAE"/>
    <w:rsid w:val="00B61069"/>
    <w:rsid w:val="00BA244A"/>
    <w:rsid w:val="00BB21EA"/>
    <w:rsid w:val="00BC1816"/>
    <w:rsid w:val="00BC4396"/>
    <w:rsid w:val="00BE434D"/>
    <w:rsid w:val="00C121DD"/>
    <w:rsid w:val="00C14D4C"/>
    <w:rsid w:val="00C168BF"/>
    <w:rsid w:val="00C54BAE"/>
    <w:rsid w:val="00C56255"/>
    <w:rsid w:val="00C81266"/>
    <w:rsid w:val="00C82363"/>
    <w:rsid w:val="00C91885"/>
    <w:rsid w:val="00C95F8D"/>
    <w:rsid w:val="00C97570"/>
    <w:rsid w:val="00CB0D7E"/>
    <w:rsid w:val="00CB28D6"/>
    <w:rsid w:val="00CC28E4"/>
    <w:rsid w:val="00CE1464"/>
    <w:rsid w:val="00D030C6"/>
    <w:rsid w:val="00D10871"/>
    <w:rsid w:val="00D17ED0"/>
    <w:rsid w:val="00D34A44"/>
    <w:rsid w:val="00D34AAB"/>
    <w:rsid w:val="00D34D64"/>
    <w:rsid w:val="00D42D37"/>
    <w:rsid w:val="00D529B0"/>
    <w:rsid w:val="00D63C69"/>
    <w:rsid w:val="00D73769"/>
    <w:rsid w:val="00D84AFA"/>
    <w:rsid w:val="00DA5592"/>
    <w:rsid w:val="00DA59D2"/>
    <w:rsid w:val="00DB522F"/>
    <w:rsid w:val="00DC3647"/>
    <w:rsid w:val="00DC6C34"/>
    <w:rsid w:val="00DC7F9D"/>
    <w:rsid w:val="00E03C28"/>
    <w:rsid w:val="00E33169"/>
    <w:rsid w:val="00E36B94"/>
    <w:rsid w:val="00E41C19"/>
    <w:rsid w:val="00E57CC9"/>
    <w:rsid w:val="00E61EC7"/>
    <w:rsid w:val="00E65260"/>
    <w:rsid w:val="00EB2D21"/>
    <w:rsid w:val="00EB3F18"/>
    <w:rsid w:val="00EB4E69"/>
    <w:rsid w:val="00EC17AB"/>
    <w:rsid w:val="00EC2E54"/>
    <w:rsid w:val="00ED4F44"/>
    <w:rsid w:val="00ED553A"/>
    <w:rsid w:val="00EE2750"/>
    <w:rsid w:val="00EF25FA"/>
    <w:rsid w:val="00EF46F3"/>
    <w:rsid w:val="00F04C36"/>
    <w:rsid w:val="00F2043C"/>
    <w:rsid w:val="00F31760"/>
    <w:rsid w:val="00F37990"/>
    <w:rsid w:val="00F40FD8"/>
    <w:rsid w:val="00F43ADA"/>
    <w:rsid w:val="00F566CD"/>
    <w:rsid w:val="00F63286"/>
    <w:rsid w:val="00F70A26"/>
    <w:rsid w:val="00F80DE1"/>
    <w:rsid w:val="00F979F0"/>
    <w:rsid w:val="00FA473F"/>
    <w:rsid w:val="00FC64ED"/>
    <w:rsid w:val="00FE035F"/>
    <w:rsid w:val="00FE0793"/>
    <w:rsid w:val="00FE70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86B96"/>
  <w15:chartTrackingRefBased/>
  <w15:docId w15:val="{8C518D29-2CDB-4BF6-B4E0-20B67F8D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C28"/>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3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286"/>
  </w:style>
  <w:style w:type="paragraph" w:styleId="Piedepgina">
    <w:name w:val="footer"/>
    <w:basedOn w:val="Normal"/>
    <w:link w:val="PiedepginaCar"/>
    <w:uiPriority w:val="99"/>
    <w:unhideWhenUsed/>
    <w:rsid w:val="00F63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286"/>
  </w:style>
  <w:style w:type="paragraph" w:styleId="Prrafodelista">
    <w:name w:val="List Paragraph"/>
    <w:basedOn w:val="Normal"/>
    <w:uiPriority w:val="34"/>
    <w:qFormat/>
    <w:rsid w:val="006C0A38"/>
    <w:pPr>
      <w:ind w:left="720"/>
      <w:contextualSpacing/>
    </w:pPr>
  </w:style>
  <w:style w:type="paragraph" w:styleId="Textodeglobo">
    <w:name w:val="Balloon Text"/>
    <w:basedOn w:val="Normal"/>
    <w:link w:val="TextodegloboCar"/>
    <w:uiPriority w:val="99"/>
    <w:semiHidden/>
    <w:unhideWhenUsed/>
    <w:rsid w:val="007A30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301D"/>
    <w:rPr>
      <w:rFonts w:ascii="Segoe UI" w:hAnsi="Segoe UI" w:cs="Segoe UI"/>
      <w:sz w:val="18"/>
      <w:szCs w:val="18"/>
    </w:rPr>
  </w:style>
  <w:style w:type="table" w:styleId="Tablaconcuadrcula">
    <w:name w:val="Table Grid"/>
    <w:basedOn w:val="Tablanormal"/>
    <w:uiPriority w:val="39"/>
    <w:rsid w:val="002C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5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7165">
      <w:bodyDiv w:val="1"/>
      <w:marLeft w:val="0"/>
      <w:marRight w:val="0"/>
      <w:marTop w:val="0"/>
      <w:marBottom w:val="0"/>
      <w:divBdr>
        <w:top w:val="none" w:sz="0" w:space="0" w:color="auto"/>
        <w:left w:val="none" w:sz="0" w:space="0" w:color="auto"/>
        <w:bottom w:val="none" w:sz="0" w:space="0" w:color="auto"/>
        <w:right w:val="none" w:sz="0" w:space="0" w:color="auto"/>
      </w:divBdr>
    </w:div>
    <w:div w:id="355279330">
      <w:bodyDiv w:val="1"/>
      <w:marLeft w:val="0"/>
      <w:marRight w:val="0"/>
      <w:marTop w:val="0"/>
      <w:marBottom w:val="0"/>
      <w:divBdr>
        <w:top w:val="none" w:sz="0" w:space="0" w:color="auto"/>
        <w:left w:val="none" w:sz="0" w:space="0" w:color="auto"/>
        <w:bottom w:val="none" w:sz="0" w:space="0" w:color="auto"/>
        <w:right w:val="none" w:sz="0" w:space="0" w:color="auto"/>
      </w:divBdr>
    </w:div>
    <w:div w:id="2010406038">
      <w:bodyDiv w:val="1"/>
      <w:marLeft w:val="0"/>
      <w:marRight w:val="0"/>
      <w:marTop w:val="0"/>
      <w:marBottom w:val="0"/>
      <w:divBdr>
        <w:top w:val="none" w:sz="0" w:space="0" w:color="auto"/>
        <w:left w:val="none" w:sz="0" w:space="0" w:color="auto"/>
        <w:bottom w:val="none" w:sz="0" w:space="0" w:color="auto"/>
        <w:right w:val="none" w:sz="0" w:space="0" w:color="auto"/>
      </w:divBdr>
    </w:div>
    <w:div w:id="20586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1390</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Ramirez Rodriguez</dc:creator>
  <cp:keywords/>
  <dc:description/>
  <cp:lastModifiedBy>Usuario de Windows</cp:lastModifiedBy>
  <cp:revision>2</cp:revision>
  <cp:lastPrinted>2020-01-07T23:57:00Z</cp:lastPrinted>
  <dcterms:created xsi:type="dcterms:W3CDTF">2020-08-24T21:43:00Z</dcterms:created>
  <dcterms:modified xsi:type="dcterms:W3CDTF">2020-08-24T21:43:00Z</dcterms:modified>
</cp:coreProperties>
</file>