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57957596" w14:textId="77777777" w:rsidR="005F3C61" w:rsidRDefault="005F3C61" w:rsidP="005F3C61">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Los sujetos obligados deberán publicar y actualizar la información tanto de los programas de comunicación social o equivalente que de acuerdo con la normatividad aplicable deban elaborar, como la de los recursos públicos erogados o utilizados para realizar las actividades relacionadas con la comunicación y la publicidad institucionales a través de los distintos medios de comunicación: espectaculares, Internet, radio, televisión, cine, medios impresos, digitales, entre otros.</w:t>
      </w:r>
    </w:p>
    <w:p w14:paraId="1BCCE8AA" w14:textId="77777777" w:rsidR="005F3C61" w:rsidRPr="005F3C61" w:rsidRDefault="005F3C61" w:rsidP="005F3C61">
      <w:pPr>
        <w:pStyle w:val="NormalWeb"/>
        <w:shd w:val="clear" w:color="auto" w:fill="FFFFFF"/>
        <w:spacing w:before="0" w:beforeAutospacing="0" w:after="150" w:afterAutospacing="0"/>
        <w:rPr>
          <w:rFonts w:ascii="Segoe UI" w:hAnsi="Segoe UI" w:cs="Segoe UI"/>
          <w:b/>
          <w:bCs/>
          <w:color w:val="000000"/>
        </w:rPr>
      </w:pPr>
      <w:r w:rsidRPr="005F3C61">
        <w:rPr>
          <w:rStyle w:val="Textoennegrita"/>
          <w:rFonts w:ascii="Segoe UI" w:hAnsi="Segoe UI" w:cs="Segoe UI"/>
          <w:b w:val="0"/>
          <w:bCs w:val="0"/>
          <w:color w:val="000000"/>
        </w:rPr>
        <w:t>Periodo de actualización:</w:t>
      </w:r>
      <w:r w:rsidRPr="005F3C61">
        <w:rPr>
          <w:rFonts w:ascii="Segoe UI" w:hAnsi="Segoe UI" w:cs="Segoe UI"/>
          <w:b/>
          <w:bCs/>
          <w:color w:val="000000"/>
        </w:rPr>
        <w:t> trimestral</w:t>
      </w:r>
      <w:r w:rsidRPr="005F3C61">
        <w:rPr>
          <w:rFonts w:ascii="Segoe UI" w:hAnsi="Segoe UI" w:cs="Segoe UI"/>
          <w:b/>
          <w:bCs/>
          <w:color w:val="000000"/>
        </w:rPr>
        <w:br/>
        <w:t>Anual, durante el primer trimestre, respecto del Programa Anual de Comunicación Social o equivalente.</w:t>
      </w:r>
    </w:p>
    <w:p w14:paraId="35EA54B5" w14:textId="77777777" w:rsidR="005F3C61" w:rsidRDefault="005F3C61" w:rsidP="00DD1E44">
      <w:pPr>
        <w:pStyle w:val="NormalWeb"/>
        <w:shd w:val="clear" w:color="auto" w:fill="FFFFFF"/>
        <w:spacing w:before="0" w:beforeAutospacing="0" w:after="150" w:afterAutospacing="0"/>
        <w:jc w:val="both"/>
        <w:rPr>
          <w:rFonts w:ascii="Segoe UI" w:hAnsi="Segoe UI" w:cs="Segoe UI"/>
          <w:color w:val="000000"/>
        </w:rPr>
      </w:pPr>
    </w:p>
    <w:p w14:paraId="78C5A285" w14:textId="77777777" w:rsidR="00160418" w:rsidRDefault="00160418"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C5C42" w14:textId="77777777" w:rsidR="00665BB9" w:rsidRDefault="00665BB9">
      <w:pPr>
        <w:spacing w:after="0" w:line="240" w:lineRule="auto"/>
      </w:pPr>
      <w:r>
        <w:separator/>
      </w:r>
    </w:p>
  </w:endnote>
  <w:endnote w:type="continuationSeparator" w:id="0">
    <w:p w14:paraId="35A148CD" w14:textId="77777777" w:rsidR="00665BB9" w:rsidRDefault="0066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7548C" w14:textId="77777777" w:rsidR="00665BB9" w:rsidRDefault="00665BB9">
      <w:pPr>
        <w:spacing w:after="0" w:line="240" w:lineRule="auto"/>
      </w:pPr>
      <w:r>
        <w:separator/>
      </w:r>
    </w:p>
  </w:footnote>
  <w:footnote w:type="continuationSeparator" w:id="0">
    <w:p w14:paraId="28456BE8" w14:textId="77777777" w:rsidR="00665BB9" w:rsidRDefault="0066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3C61"/>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149</Words>
  <Characters>823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42</cp:revision>
  <cp:lastPrinted>2024-02-22T23:50:00Z</cp:lastPrinted>
  <dcterms:created xsi:type="dcterms:W3CDTF">2024-02-29T22:38:00Z</dcterms:created>
  <dcterms:modified xsi:type="dcterms:W3CDTF">2024-03-06T18:18:00Z</dcterms:modified>
</cp:coreProperties>
</file>