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3C0455B8" w14:textId="77777777" w:rsidR="00004A57" w:rsidRDefault="00004A57" w:rsidP="00004A57">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 xml:space="preserve">Los sujetos obligados, publicarán el Informe Final de Resultados de la Revisión de la Cuenta Pública que la Secretaría de Administración y Finanzas haya remitido al sujeto obligado, y establecer un vínculo a las </w:t>
      </w:r>
      <w:proofErr w:type="spellStart"/>
      <w:r>
        <w:rPr>
          <w:rFonts w:ascii="Segoe UI" w:hAnsi="Segoe UI" w:cs="Segoe UI"/>
          <w:color w:val="000000"/>
          <w:sz w:val="21"/>
          <w:szCs w:val="21"/>
        </w:rPr>
        <w:t>solventaciones</w:t>
      </w:r>
      <w:proofErr w:type="spellEnd"/>
      <w:r>
        <w:rPr>
          <w:rFonts w:ascii="Segoe UI" w:hAnsi="Segoe UI" w:cs="Segoe UI"/>
          <w:color w:val="000000"/>
          <w:sz w:val="21"/>
          <w:szCs w:val="21"/>
        </w:rPr>
        <w:t xml:space="preserve"> o aclaraciones de los resultados derivados de las auditorías concluidas que haya realizado a los sujetos obligados y que publica la Auditoría Superior de la Ciudad de México en su fracción V del artículo 127 de la LTAIPRC.</w:t>
      </w:r>
    </w:p>
    <w:p w14:paraId="0D593F4D" w14:textId="77777777" w:rsidR="00004A57" w:rsidRDefault="00004A57" w:rsidP="00004A57">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Periodo de actualización:</w:t>
      </w:r>
      <w:r>
        <w:rPr>
          <w:rFonts w:ascii="Segoe UI" w:hAnsi="Segoe UI" w:cs="Segoe UI"/>
          <w:color w:val="000000"/>
          <w:sz w:val="21"/>
          <w:szCs w:val="21"/>
        </w:rPr>
        <w:t> </w:t>
      </w:r>
      <w:r>
        <w:rPr>
          <w:rStyle w:val="Textoennegrita"/>
          <w:rFonts w:ascii="Segoe UI" w:hAnsi="Segoe UI" w:cs="Segoe UI"/>
          <w:color w:val="000000"/>
          <w:sz w:val="21"/>
          <w:szCs w:val="21"/>
        </w:rPr>
        <w:t>ANUAL </w:t>
      </w:r>
    </w:p>
    <w:p w14:paraId="31A58D3D" w14:textId="77777777" w:rsidR="00004A57" w:rsidRDefault="00004A57" w:rsidP="00DD1E44">
      <w:pPr>
        <w:pStyle w:val="NormalWeb"/>
        <w:shd w:val="clear" w:color="auto" w:fill="FFFFFF"/>
        <w:spacing w:before="0" w:beforeAutospacing="0" w:after="150" w:afterAutospacing="0"/>
        <w:jc w:val="both"/>
        <w:rPr>
          <w:rFonts w:ascii="Segoe UI" w:hAnsi="Segoe UI" w:cs="Segoe UI"/>
          <w:color w:val="000000"/>
        </w:rPr>
      </w:pPr>
    </w:p>
    <w:p w14:paraId="1A00F129" w14:textId="77777777" w:rsidR="00004A57" w:rsidRDefault="00004A57" w:rsidP="00DD1E44">
      <w:pPr>
        <w:pStyle w:val="NormalWeb"/>
        <w:shd w:val="clear" w:color="auto" w:fill="FFFFFF"/>
        <w:spacing w:before="0" w:beforeAutospacing="0" w:after="150" w:afterAutospacing="0"/>
        <w:jc w:val="both"/>
        <w:rPr>
          <w:rFonts w:ascii="Segoe UI" w:hAnsi="Segoe UI" w:cs="Segoe UI"/>
          <w:color w:val="000000"/>
        </w:rPr>
      </w:pPr>
    </w:p>
    <w:p w14:paraId="2B797EFC" w14:textId="77777777" w:rsidR="00004A57" w:rsidRDefault="00004A57" w:rsidP="00DD1E44">
      <w:pPr>
        <w:pStyle w:val="NormalWeb"/>
        <w:shd w:val="clear" w:color="auto" w:fill="FFFFFF"/>
        <w:spacing w:before="0" w:beforeAutospacing="0" w:after="150" w:afterAutospacing="0"/>
        <w:jc w:val="both"/>
        <w:rPr>
          <w:rFonts w:ascii="Segoe UI" w:hAnsi="Segoe UI" w:cs="Segoe UI"/>
          <w:color w:val="000000"/>
        </w:rPr>
      </w:pPr>
    </w:p>
    <w:p w14:paraId="51D870F2" w14:textId="77777777" w:rsidR="00004A57" w:rsidRDefault="00004A57" w:rsidP="00DD1E44">
      <w:pPr>
        <w:pStyle w:val="NormalWeb"/>
        <w:shd w:val="clear" w:color="auto" w:fill="FFFFFF"/>
        <w:spacing w:before="0" w:beforeAutospacing="0" w:after="150" w:afterAutospacing="0"/>
        <w:jc w:val="both"/>
        <w:rPr>
          <w:rFonts w:ascii="Segoe UI" w:hAnsi="Segoe UI" w:cs="Segoe UI"/>
          <w:color w:val="000000"/>
        </w:rPr>
      </w:pPr>
    </w:p>
    <w:p w14:paraId="2265D73A" w14:textId="77777777" w:rsidR="008C0221" w:rsidRDefault="008C0221" w:rsidP="00DD1E44">
      <w:pPr>
        <w:pStyle w:val="NormalWeb"/>
        <w:shd w:val="clear" w:color="auto" w:fill="FFFFFF"/>
        <w:spacing w:before="0" w:beforeAutospacing="0" w:after="150" w:afterAutospacing="0"/>
        <w:jc w:val="both"/>
        <w:rPr>
          <w:rFonts w:ascii="Segoe UI" w:hAnsi="Segoe UI" w:cs="Segoe UI"/>
          <w:color w:val="000000"/>
        </w:rPr>
      </w:pPr>
    </w:p>
    <w:p w14:paraId="3BE0AE58"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46873C82"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3BAA5496"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0DD22F" w14:textId="77777777" w:rsidR="000C4503" w:rsidRDefault="000C4503">
      <w:pPr>
        <w:spacing w:after="0" w:line="240" w:lineRule="auto"/>
      </w:pPr>
      <w:r>
        <w:separator/>
      </w:r>
    </w:p>
  </w:endnote>
  <w:endnote w:type="continuationSeparator" w:id="0">
    <w:p w14:paraId="37CBFA29" w14:textId="77777777" w:rsidR="000C4503" w:rsidRDefault="000C4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5A0FE" w14:textId="77777777" w:rsidR="000C4503" w:rsidRDefault="000C4503">
      <w:pPr>
        <w:spacing w:after="0" w:line="240" w:lineRule="auto"/>
      </w:pPr>
      <w:r>
        <w:separator/>
      </w:r>
    </w:p>
  </w:footnote>
  <w:footnote w:type="continuationSeparator" w:id="0">
    <w:p w14:paraId="6709A5ED" w14:textId="77777777" w:rsidR="000C4503" w:rsidRDefault="000C4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A57"/>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129</Words>
  <Characters>713</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48</cp:revision>
  <cp:lastPrinted>2024-02-22T23:50:00Z</cp:lastPrinted>
  <dcterms:created xsi:type="dcterms:W3CDTF">2024-02-29T22:38:00Z</dcterms:created>
  <dcterms:modified xsi:type="dcterms:W3CDTF">2024-03-07T18:55:00Z</dcterms:modified>
</cp:coreProperties>
</file>