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7CDE1881" w14:textId="4F2E6BE0" w:rsidR="009574B5" w:rsidRDefault="00392AC4" w:rsidP="008C65C7">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37431B00" w14:textId="690F9281" w:rsidR="00DB68A8" w:rsidRDefault="00DB68A8" w:rsidP="000253C0">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Respecto a los trámites que las personas tengan que realizar para acceder a alguno de los programas reportados, se publicarán los</w:t>
      </w:r>
      <w:r w:rsidR="000253C0">
        <w:rPr>
          <w:rFonts w:ascii="Segoe UI" w:hAnsi="Segoe UI" w:cs="Segoe UI"/>
          <w:color w:val="000000"/>
          <w:sz w:val="21"/>
          <w:szCs w:val="21"/>
        </w:rPr>
        <w:t xml:space="preserve"> </w:t>
      </w:r>
      <w:r>
        <w:rPr>
          <w:rFonts w:ascii="Segoe UI" w:hAnsi="Segoe UI" w:cs="Segoe UI"/>
          <w:color w:val="000000"/>
          <w:sz w:val="21"/>
          <w:szCs w:val="21"/>
        </w:rPr>
        <w:t>datos mínimos e indispensables para realizar el trámite que así corresponda.</w:t>
      </w:r>
    </w:p>
    <w:p w14:paraId="246F8EC4" w14:textId="77777777" w:rsidR="00DB68A8" w:rsidRPr="00DB68A8" w:rsidRDefault="00DB68A8" w:rsidP="00DB68A8">
      <w:pPr>
        <w:pStyle w:val="NormalWeb"/>
        <w:shd w:val="clear" w:color="auto" w:fill="FFFFFF"/>
        <w:spacing w:before="0" w:beforeAutospacing="0" w:after="150" w:afterAutospacing="0"/>
        <w:rPr>
          <w:rFonts w:ascii="Segoe UI" w:hAnsi="Segoe UI" w:cs="Segoe UI"/>
          <w:color w:val="000000"/>
          <w:sz w:val="28"/>
          <w:szCs w:val="28"/>
        </w:rPr>
      </w:pPr>
      <w:r w:rsidRPr="00DB68A8">
        <w:rPr>
          <w:rStyle w:val="Textoennegrita"/>
          <w:rFonts w:ascii="Segoe UI" w:hAnsi="Segoe UI" w:cs="Segoe UI"/>
          <w:color w:val="000000"/>
          <w:sz w:val="28"/>
          <w:szCs w:val="28"/>
        </w:rPr>
        <w:t>Periodo de actualización:</w:t>
      </w:r>
      <w:r w:rsidRPr="00DB68A8">
        <w:rPr>
          <w:rFonts w:ascii="Segoe UI" w:hAnsi="Segoe UI" w:cs="Segoe UI"/>
          <w:color w:val="000000"/>
          <w:sz w:val="28"/>
          <w:szCs w:val="28"/>
        </w:rPr>
        <w:t> trimestral</w:t>
      </w:r>
    </w:p>
    <w:p w14:paraId="218898EC" w14:textId="77777777" w:rsidR="00DB68A8" w:rsidRDefault="00DB68A8" w:rsidP="008C65C7">
      <w:pPr>
        <w:pStyle w:val="NormalWeb"/>
        <w:shd w:val="clear" w:color="auto" w:fill="FFFFFF"/>
        <w:spacing w:before="0" w:beforeAutospacing="0" w:after="150" w:afterAutospacing="0"/>
        <w:jc w:val="both"/>
        <w:rPr>
          <w:rFonts w:ascii="Segoe UI" w:hAnsi="Segoe UI" w:cs="Segoe UI"/>
          <w:color w:val="000000"/>
        </w:rPr>
      </w:pPr>
    </w:p>
    <w:p w14:paraId="36C13DAA" w14:textId="77777777" w:rsidR="00DB68A8" w:rsidRDefault="00DB68A8" w:rsidP="008C65C7">
      <w:pPr>
        <w:pStyle w:val="NormalWeb"/>
        <w:shd w:val="clear" w:color="auto" w:fill="FFFFFF"/>
        <w:spacing w:before="0" w:beforeAutospacing="0" w:after="150" w:afterAutospacing="0"/>
        <w:jc w:val="both"/>
        <w:rPr>
          <w:rFonts w:ascii="Segoe UI" w:hAnsi="Segoe UI" w:cs="Segoe UI"/>
          <w:color w:val="000000"/>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CE4314" w14:textId="77777777" w:rsidR="000E40FD" w:rsidRDefault="000E40FD">
      <w:pPr>
        <w:spacing w:after="0" w:line="240" w:lineRule="auto"/>
      </w:pPr>
      <w:r>
        <w:separator/>
      </w:r>
    </w:p>
  </w:endnote>
  <w:endnote w:type="continuationSeparator" w:id="0">
    <w:p w14:paraId="5ECECBDF" w14:textId="77777777" w:rsidR="000E40FD" w:rsidRDefault="000E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B424A2" w14:textId="77777777" w:rsidR="000E40FD" w:rsidRDefault="000E40FD">
      <w:pPr>
        <w:spacing w:after="0" w:line="240" w:lineRule="auto"/>
      </w:pPr>
      <w:r>
        <w:separator/>
      </w:r>
    </w:p>
  </w:footnote>
  <w:footnote w:type="continuationSeparator" w:id="0">
    <w:p w14:paraId="332AD9A1" w14:textId="77777777" w:rsidR="000E40FD" w:rsidRDefault="000E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3C0"/>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40FD"/>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059AE"/>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1EC3"/>
    <w:rsid w:val="004C3749"/>
    <w:rsid w:val="004C4871"/>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1FE6"/>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C65C7"/>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574B5"/>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0FC5"/>
    <w:rsid w:val="00A2172F"/>
    <w:rsid w:val="00A24F0E"/>
    <w:rsid w:val="00A25354"/>
    <w:rsid w:val="00A31C8D"/>
    <w:rsid w:val="00A42281"/>
    <w:rsid w:val="00A43853"/>
    <w:rsid w:val="00A55578"/>
    <w:rsid w:val="00A6305F"/>
    <w:rsid w:val="00A73206"/>
    <w:rsid w:val="00A74019"/>
    <w:rsid w:val="00A774EE"/>
    <w:rsid w:val="00A81ADD"/>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529F"/>
    <w:rsid w:val="00C47B00"/>
    <w:rsid w:val="00C51127"/>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B68A8"/>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77B0F"/>
    <w:rsid w:val="00F80D90"/>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36649055">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648749387">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783883744">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040515593">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186944897">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483230998">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506</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8</cp:revision>
  <cp:lastPrinted>2024-02-22T23:50:00Z</cp:lastPrinted>
  <dcterms:created xsi:type="dcterms:W3CDTF">2024-03-15T17:08:00Z</dcterms:created>
  <dcterms:modified xsi:type="dcterms:W3CDTF">2024-03-15T18:50:00Z</dcterms:modified>
</cp:coreProperties>
</file>